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E" w:rsidRPr="00EB492E" w:rsidRDefault="00EB492E" w:rsidP="00EB492E">
      <w:pPr>
        <w:shd w:val="clear" w:color="auto" w:fill="FFFFFF"/>
        <w:spacing w:after="0" w:line="336" w:lineRule="atLeast"/>
        <w:textAlignment w:val="baseline"/>
        <w:outlineLvl w:val="0"/>
        <w:rPr>
          <w:rFonts w:ascii="Helvetica" w:eastAsia="Times New Roman" w:hAnsi="Helvetica" w:cs="Helvetica"/>
          <w:b/>
          <w:bCs/>
          <w:color w:val="241710"/>
          <w:kern w:val="36"/>
          <w:sz w:val="43"/>
          <w:szCs w:val="43"/>
          <w:lang w:eastAsia="es-ES"/>
        </w:rPr>
      </w:pPr>
      <w:r w:rsidRPr="00EB492E">
        <w:rPr>
          <w:rFonts w:ascii="Helvetica" w:eastAsia="Times New Roman" w:hAnsi="Helvetica" w:cs="Helvetica"/>
          <w:b/>
          <w:bCs/>
          <w:color w:val="241710"/>
          <w:kern w:val="36"/>
          <w:sz w:val="43"/>
          <w:szCs w:val="43"/>
          <w:lang w:eastAsia="es-ES"/>
        </w:rPr>
        <w:t>Cinco de los seis preparados de Q10 no pasaron la prueba</w:t>
      </w:r>
    </w:p>
    <w:p w:rsidR="00EB492E" w:rsidRPr="00EB492E" w:rsidRDefault="00EB492E" w:rsidP="00EB492E">
      <w:pPr>
        <w:spacing w:after="0" w:line="240" w:lineRule="auto"/>
        <w:rPr>
          <w:rFonts w:ascii="Times New Roman" w:eastAsia="Times New Roman" w:hAnsi="Times New Roman" w:cs="Times New Roman"/>
          <w:sz w:val="24"/>
          <w:szCs w:val="24"/>
          <w:lang w:eastAsia="es-ES"/>
        </w:rPr>
      </w:pPr>
      <w:r w:rsidRPr="00EB492E">
        <w:rPr>
          <w:rFonts w:ascii="Arial" w:eastAsia="Times New Roman" w:hAnsi="Arial" w:cs="Arial"/>
          <w:color w:val="241710"/>
          <w:sz w:val="23"/>
          <w:szCs w:val="23"/>
          <w:lang w:eastAsia="es-ES"/>
        </w:rPr>
        <w:br/>
      </w:r>
      <w:r w:rsidRPr="00EB492E">
        <w:rPr>
          <w:rFonts w:ascii="Arial" w:eastAsia="Times New Roman" w:hAnsi="Arial" w:cs="Arial"/>
          <w:color w:val="241710"/>
          <w:sz w:val="23"/>
          <w:szCs w:val="23"/>
          <w:shd w:val="clear" w:color="auto" w:fill="FFFFFF"/>
          <w:lang w:eastAsia="es-ES"/>
        </w:rPr>
        <w:t> </w:t>
      </w:r>
      <w:r w:rsidRPr="00EB492E">
        <w:rPr>
          <w:rFonts w:ascii="Times New Roman" w:eastAsia="Times New Roman" w:hAnsi="Times New Roman" w:cs="Times New Roman"/>
          <w:sz w:val="24"/>
          <w:szCs w:val="24"/>
          <w:lang w:eastAsia="es-ES"/>
        </w:rPr>
        <w:t>20/03/2019</w:t>
      </w:r>
      <w:r w:rsidRPr="00EB492E">
        <w:rPr>
          <w:rFonts w:ascii="Arial" w:eastAsia="Times New Roman" w:hAnsi="Arial" w:cs="Arial"/>
          <w:color w:val="241710"/>
          <w:sz w:val="23"/>
          <w:szCs w:val="23"/>
          <w:lang w:eastAsia="es-ES"/>
        </w:rPr>
        <w:br/>
      </w:r>
      <w:r w:rsidRPr="00EB492E">
        <w:rPr>
          <w:rFonts w:ascii="Arial" w:eastAsia="Times New Roman" w:hAnsi="Arial" w:cs="Arial"/>
          <w:color w:val="241710"/>
          <w:sz w:val="23"/>
          <w:szCs w:val="23"/>
          <w:lang w:eastAsia="es-ES"/>
        </w:rPr>
        <w:br/>
      </w:r>
    </w:p>
    <w:tbl>
      <w:tblPr>
        <w:tblpPr w:leftFromText="36" w:rightFromText="36" w:vertAnchor="text"/>
        <w:tblW w:w="9000" w:type="dxa"/>
        <w:shd w:val="clear" w:color="auto" w:fill="F1F1F1"/>
        <w:tblCellMar>
          <w:left w:w="0" w:type="dxa"/>
          <w:right w:w="0" w:type="dxa"/>
        </w:tblCellMar>
        <w:tblLook w:val="04A0" w:firstRow="1" w:lastRow="0" w:firstColumn="1" w:lastColumn="0" w:noHBand="0" w:noVBand="1"/>
      </w:tblPr>
      <w:tblGrid>
        <w:gridCol w:w="9000"/>
      </w:tblGrid>
      <w:tr w:rsidR="00EB492E" w:rsidRPr="00EB492E" w:rsidTr="00EB492E">
        <w:tc>
          <w:tcPr>
            <w:tcW w:w="0" w:type="auto"/>
            <w:tcBorders>
              <w:top w:val="nil"/>
              <w:left w:val="nil"/>
              <w:bottom w:val="nil"/>
              <w:right w:val="nil"/>
            </w:tcBorders>
            <w:shd w:val="clear" w:color="auto" w:fill="auto"/>
            <w:vAlign w:val="bottom"/>
            <w:hideMark/>
          </w:tcPr>
          <w:tbl>
            <w:tblPr>
              <w:tblpPr w:leftFromText="36" w:rightFromText="36" w:vertAnchor="text"/>
              <w:tblW w:w="9000" w:type="dxa"/>
              <w:shd w:val="clear" w:color="auto" w:fill="FFFFFF"/>
              <w:tblCellMar>
                <w:left w:w="0" w:type="dxa"/>
                <w:right w:w="0" w:type="dxa"/>
              </w:tblCellMar>
              <w:tblLook w:val="04A0" w:firstRow="1" w:lastRow="0" w:firstColumn="1" w:lastColumn="0" w:noHBand="0" w:noVBand="1"/>
            </w:tblPr>
            <w:tblGrid>
              <w:gridCol w:w="9000"/>
            </w:tblGrid>
            <w:tr w:rsidR="00EB492E" w:rsidRPr="00EB492E">
              <w:tc>
                <w:tcPr>
                  <w:tcW w:w="0" w:type="auto"/>
                  <w:tcBorders>
                    <w:top w:val="nil"/>
                    <w:left w:val="nil"/>
                    <w:bottom w:val="nil"/>
                    <w:right w:val="nil"/>
                  </w:tcBorders>
                  <w:shd w:val="clear" w:color="auto" w:fill="auto"/>
                  <w:hideMark/>
                </w:tcPr>
                <w:p w:rsidR="00EB492E" w:rsidRPr="00EB492E" w:rsidRDefault="00EB492E" w:rsidP="00EB492E">
                  <w:pPr>
                    <w:spacing w:after="0" w:line="336" w:lineRule="atLeast"/>
                    <w:rPr>
                      <w:rFonts w:ascii="Calibri" w:eastAsia="Times New Roman" w:hAnsi="Calibri" w:cs="Calibri"/>
                      <w:color w:val="241710"/>
                      <w:sz w:val="21"/>
                      <w:szCs w:val="21"/>
                      <w:lang w:eastAsia="es-ES"/>
                    </w:rPr>
                  </w:pPr>
                  <w:r w:rsidRPr="00EB492E">
                    <w:rPr>
                      <w:rFonts w:ascii="Calibri" w:eastAsia="Times New Roman" w:hAnsi="Calibri" w:cs="Calibri"/>
                      <w:noProof/>
                      <w:color w:val="241710"/>
                      <w:sz w:val="21"/>
                      <w:szCs w:val="21"/>
                      <w:lang w:eastAsia="es-ES"/>
                    </w:rPr>
                    <w:drawing>
                      <wp:inline distT="0" distB="0" distL="0" distR="0" wp14:anchorId="2C8467EC" wp14:editId="6E93A139">
                        <wp:extent cx="5709920" cy="1432560"/>
                        <wp:effectExtent l="0" t="0" r="5080" b="0"/>
                        <wp:docPr id="1" name="Imagen 1" descr="https://www.pharmanord.es/CKFinderJava/userfiles/images/2018/EE/EE-Q10-Navas-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rmanord.es/CKFinderJava/userfiles/images/2018/EE/EE-Q10-Navas-Stud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1432560"/>
                                </a:xfrm>
                                <a:prstGeom prst="rect">
                                  <a:avLst/>
                                </a:prstGeom>
                                <a:noFill/>
                                <a:ln>
                                  <a:noFill/>
                                </a:ln>
                              </pic:spPr>
                            </pic:pic>
                          </a:graphicData>
                        </a:graphic>
                      </wp:inline>
                    </w:drawing>
                  </w:r>
                </w:p>
              </w:tc>
            </w:tr>
          </w:tbl>
          <w:p w:rsidR="00EB492E" w:rsidRPr="00EB492E" w:rsidRDefault="00EB492E" w:rsidP="00EB492E">
            <w:pPr>
              <w:spacing w:after="0" w:line="336" w:lineRule="atLeast"/>
              <w:rPr>
                <w:rFonts w:ascii="Helvetica" w:eastAsia="Times New Roman" w:hAnsi="Helvetica" w:cs="Helvetica"/>
                <w:color w:val="241710"/>
                <w:sz w:val="23"/>
                <w:szCs w:val="23"/>
                <w:lang w:eastAsia="es-ES"/>
              </w:rPr>
            </w:pPr>
          </w:p>
        </w:tc>
      </w:tr>
      <w:tr w:rsidR="00EB492E" w:rsidRPr="00EB492E" w:rsidTr="00EB492E">
        <w:tc>
          <w:tcPr>
            <w:tcW w:w="0" w:type="auto"/>
            <w:tcBorders>
              <w:top w:val="nil"/>
              <w:left w:val="nil"/>
              <w:bottom w:val="nil"/>
              <w:right w:val="nil"/>
            </w:tcBorders>
            <w:shd w:val="clear" w:color="auto" w:fill="auto"/>
            <w:vAlign w:val="bottom"/>
            <w:hideMark/>
          </w:tcPr>
          <w:tbl>
            <w:tblPr>
              <w:tblpPr w:leftFromText="36" w:rightFromText="36" w:vertAnchor="text"/>
              <w:tblW w:w="9000" w:type="dxa"/>
              <w:shd w:val="clear" w:color="auto" w:fill="FFFFFF"/>
              <w:tblCellMar>
                <w:left w:w="0" w:type="dxa"/>
                <w:right w:w="0" w:type="dxa"/>
              </w:tblCellMar>
              <w:tblLook w:val="04A0" w:firstRow="1" w:lastRow="0" w:firstColumn="1" w:lastColumn="0" w:noHBand="0" w:noVBand="1"/>
            </w:tblPr>
            <w:tblGrid>
              <w:gridCol w:w="9000"/>
            </w:tblGrid>
            <w:tr w:rsidR="00EB492E" w:rsidRPr="00EB492E">
              <w:tc>
                <w:tcPr>
                  <w:tcW w:w="0" w:type="auto"/>
                  <w:tcBorders>
                    <w:top w:val="nil"/>
                    <w:left w:val="nil"/>
                    <w:bottom w:val="nil"/>
                    <w:right w:val="nil"/>
                  </w:tcBorders>
                  <w:shd w:val="clear" w:color="auto" w:fill="auto"/>
                  <w:tcMar>
                    <w:top w:w="225" w:type="dxa"/>
                    <w:left w:w="225" w:type="dxa"/>
                    <w:bottom w:w="225" w:type="dxa"/>
                    <w:right w:w="225" w:type="dxa"/>
                  </w:tcMar>
                  <w:hideMark/>
                </w:tcPr>
                <w:p w:rsidR="00EB492E" w:rsidRPr="00EB492E" w:rsidRDefault="00EB492E" w:rsidP="00EB492E">
                  <w:pPr>
                    <w:spacing w:after="0" w:line="336" w:lineRule="atLeast"/>
                    <w:textAlignment w:val="baseline"/>
                    <w:rPr>
                      <w:rFonts w:ascii="Helvetica" w:eastAsia="Times New Roman" w:hAnsi="Helvetica" w:cs="Helvetica"/>
                      <w:color w:val="241710"/>
                      <w:sz w:val="23"/>
                      <w:szCs w:val="23"/>
                      <w:lang w:eastAsia="es-ES"/>
                    </w:rPr>
                  </w:pPr>
                  <w:r w:rsidRPr="00EB492E">
                    <w:rPr>
                      <w:rFonts w:ascii="Arial" w:eastAsia="Times New Roman" w:hAnsi="Arial" w:cs="Arial"/>
                      <w:b/>
                      <w:bCs/>
                      <w:color w:val="241710"/>
                      <w:sz w:val="23"/>
                      <w:szCs w:val="23"/>
                      <w:bdr w:val="none" w:sz="0" w:space="0" w:color="auto" w:frame="1"/>
                      <w:lang w:eastAsia="es-ES"/>
                    </w:rPr>
                    <w:t>Es una pérdida de dinero tomar un preparado de Q10 si su cuerpo no puede absorber esta substancia, y este podría ser el caso de una cantidad sorprendentemente grande de preparados en el mercado. La mayoría de las personas desconocen que la calidad de la materia prima por sí sola no es lo que determina la biodisponibilidad de un preparado de Q10. Lo que es aún más importante es cómo se fabrica.</w:t>
                  </w:r>
                </w:p>
                <w:p w:rsidR="00EB492E" w:rsidRPr="00EB492E" w:rsidRDefault="00EB492E" w:rsidP="00EB492E">
                  <w:pPr>
                    <w:spacing w:after="240" w:line="336" w:lineRule="atLeast"/>
                    <w:textAlignment w:val="baseline"/>
                    <w:rPr>
                      <w:rFonts w:ascii="Helvetica" w:eastAsia="Times New Roman" w:hAnsi="Helvetica" w:cs="Helvetica"/>
                      <w:color w:val="241710"/>
                      <w:sz w:val="23"/>
                      <w:szCs w:val="23"/>
                      <w:lang w:eastAsia="es-ES"/>
                    </w:rPr>
                  </w:pPr>
                  <w:r w:rsidRPr="00EB492E">
                    <w:rPr>
                      <w:rFonts w:ascii="Helvetica" w:eastAsia="Times New Roman" w:hAnsi="Helvetica" w:cs="Helvetica"/>
                      <w:color w:val="241710"/>
                      <w:sz w:val="23"/>
                      <w:szCs w:val="23"/>
                      <w:lang w:eastAsia="es-ES"/>
                    </w:rPr>
                    <w:t>Millones de personas en todo el mundo toman un complemento diario de Q10. Este compuesto es único por varias razones. Un número considerablemente grande de estudios científicos muestran que la coenzima Q10 de alta calidad puede ayudar a muchas personas a mejorar su salud y calidad de vida.</w:t>
                  </w:r>
                  <w:r w:rsidRPr="00EB492E">
                    <w:rPr>
                      <w:rFonts w:ascii="Helvetica" w:eastAsia="Times New Roman" w:hAnsi="Helvetica" w:cs="Helvetica"/>
                      <w:color w:val="241710"/>
                      <w:sz w:val="23"/>
                      <w:szCs w:val="23"/>
                      <w:lang w:eastAsia="es-ES"/>
                    </w:rPr>
                    <w:br/>
                  </w:r>
                  <w:r w:rsidRPr="00EB492E">
                    <w:rPr>
                      <w:rFonts w:ascii="Helvetica" w:eastAsia="Times New Roman" w:hAnsi="Helvetica" w:cs="Helvetica"/>
                      <w:color w:val="241710"/>
                      <w:sz w:val="23"/>
                      <w:szCs w:val="23"/>
                      <w:lang w:eastAsia="es-ES"/>
                    </w:rPr>
                    <w:br/>
                    <w:t>Un número sustancial de los estudios, donde la Q10 ha demostrado ser beneficiosa, no se realizaron con Q10 en forma de complementos nutricionales sino con Q10 en forma de medicamento.</w:t>
                  </w:r>
                </w:p>
              </w:tc>
            </w:tr>
          </w:tbl>
          <w:p w:rsidR="00EB492E" w:rsidRPr="00EB492E" w:rsidRDefault="00EB492E" w:rsidP="00EB492E">
            <w:pPr>
              <w:spacing w:after="0" w:line="336" w:lineRule="atLeast"/>
              <w:rPr>
                <w:rFonts w:ascii="Helvetica" w:eastAsia="Times New Roman" w:hAnsi="Helvetica" w:cs="Helvetica"/>
                <w:color w:val="241710"/>
                <w:sz w:val="23"/>
                <w:szCs w:val="23"/>
                <w:lang w:eastAsia="es-ES"/>
              </w:rPr>
            </w:pPr>
          </w:p>
        </w:tc>
      </w:tr>
      <w:tr w:rsidR="00EB492E" w:rsidRPr="00EB492E" w:rsidTr="00EB492E">
        <w:trPr>
          <w:trHeight w:val="108"/>
        </w:trPr>
        <w:tc>
          <w:tcPr>
            <w:tcW w:w="0" w:type="auto"/>
            <w:tcBorders>
              <w:top w:val="nil"/>
              <w:left w:val="nil"/>
              <w:bottom w:val="nil"/>
              <w:right w:val="nil"/>
            </w:tcBorders>
            <w:shd w:val="clear" w:color="auto" w:fill="auto"/>
            <w:vAlign w:val="bottom"/>
            <w:hideMark/>
          </w:tcPr>
          <w:p w:rsidR="00EB492E" w:rsidRPr="00EB492E" w:rsidRDefault="00EB492E" w:rsidP="00EB492E">
            <w:pPr>
              <w:spacing w:after="0" w:line="108" w:lineRule="atLeast"/>
              <w:rPr>
                <w:rFonts w:ascii="Helvetica" w:eastAsia="Times New Roman" w:hAnsi="Helvetica" w:cs="Helvetica"/>
                <w:color w:val="241710"/>
                <w:sz w:val="14"/>
                <w:szCs w:val="14"/>
                <w:lang w:eastAsia="es-ES"/>
              </w:rPr>
            </w:pPr>
            <w:r w:rsidRPr="00EB492E">
              <w:rPr>
                <w:rFonts w:ascii="Helvetica" w:eastAsia="Times New Roman" w:hAnsi="Helvetica" w:cs="Helvetica"/>
                <w:color w:val="241710"/>
                <w:sz w:val="14"/>
                <w:szCs w:val="14"/>
                <w:lang w:eastAsia="es-ES"/>
              </w:rPr>
              <w:t> </w:t>
            </w:r>
          </w:p>
        </w:tc>
      </w:tr>
      <w:tr w:rsidR="00EB492E" w:rsidRPr="00EB492E" w:rsidTr="00EB492E">
        <w:tc>
          <w:tcPr>
            <w:tcW w:w="0" w:type="auto"/>
            <w:tcBorders>
              <w:top w:val="nil"/>
              <w:left w:val="nil"/>
              <w:bottom w:val="nil"/>
              <w:right w:val="nil"/>
            </w:tcBorders>
            <w:shd w:val="clear" w:color="auto" w:fill="auto"/>
            <w:vAlign w:val="bottom"/>
            <w:hideMark/>
          </w:tcPr>
          <w:tbl>
            <w:tblPr>
              <w:tblpPr w:leftFromText="36" w:rightFromText="36" w:vertAnchor="text"/>
              <w:tblW w:w="9000" w:type="dxa"/>
              <w:shd w:val="clear" w:color="auto" w:fill="FFFFFF"/>
              <w:tblCellMar>
                <w:left w:w="0" w:type="dxa"/>
                <w:right w:w="0" w:type="dxa"/>
              </w:tblCellMar>
              <w:tblLook w:val="04A0" w:firstRow="1" w:lastRow="0" w:firstColumn="1" w:lastColumn="0" w:noHBand="0" w:noVBand="1"/>
            </w:tblPr>
            <w:tblGrid>
              <w:gridCol w:w="9000"/>
            </w:tblGrid>
            <w:tr w:rsidR="00EB492E" w:rsidRPr="00EB492E">
              <w:tc>
                <w:tcPr>
                  <w:tcW w:w="0" w:type="auto"/>
                  <w:tcBorders>
                    <w:top w:val="nil"/>
                    <w:left w:val="nil"/>
                    <w:bottom w:val="nil"/>
                    <w:right w:val="nil"/>
                  </w:tcBorders>
                  <w:shd w:val="clear" w:color="auto" w:fill="auto"/>
                  <w:tcMar>
                    <w:top w:w="225" w:type="dxa"/>
                    <w:left w:w="225" w:type="dxa"/>
                    <w:bottom w:w="225" w:type="dxa"/>
                    <w:right w:w="225" w:type="dxa"/>
                  </w:tcMar>
                  <w:hideMark/>
                </w:tcPr>
                <w:p w:rsidR="00EB492E" w:rsidRPr="00EB492E" w:rsidRDefault="00EB492E" w:rsidP="00EB492E">
                  <w:pPr>
                    <w:spacing w:after="150" w:line="336" w:lineRule="atLeast"/>
                    <w:textAlignment w:val="baseline"/>
                    <w:outlineLvl w:val="1"/>
                    <w:rPr>
                      <w:rFonts w:ascii="Helvetica" w:eastAsia="Times New Roman" w:hAnsi="Helvetica" w:cs="Helvetica"/>
                      <w:b/>
                      <w:bCs/>
                      <w:color w:val="241710"/>
                      <w:sz w:val="28"/>
                      <w:szCs w:val="28"/>
                      <w:lang w:eastAsia="es-ES"/>
                    </w:rPr>
                  </w:pPr>
                  <w:r w:rsidRPr="00EB492E">
                    <w:rPr>
                      <w:rFonts w:ascii="Helvetica" w:eastAsia="Times New Roman" w:hAnsi="Helvetica" w:cs="Helvetica"/>
                      <w:b/>
                      <w:bCs/>
                      <w:color w:val="241710"/>
                      <w:sz w:val="28"/>
                      <w:szCs w:val="28"/>
                      <w:lang w:eastAsia="es-ES"/>
                    </w:rPr>
                    <w:t>¿Si contiene Q10, importa qué tipo de preparado tomo?</w:t>
                  </w:r>
                </w:p>
                <w:p w:rsidR="00EB492E" w:rsidRPr="00EB492E" w:rsidRDefault="00EB492E" w:rsidP="00EB492E">
                  <w:pPr>
                    <w:spacing w:after="240" w:line="336" w:lineRule="atLeast"/>
                    <w:textAlignment w:val="baseline"/>
                    <w:rPr>
                      <w:rFonts w:ascii="Helvetica" w:eastAsia="Times New Roman" w:hAnsi="Helvetica" w:cs="Helvetica"/>
                      <w:color w:val="241710"/>
                      <w:sz w:val="23"/>
                      <w:szCs w:val="23"/>
                      <w:lang w:eastAsia="es-ES"/>
                    </w:rPr>
                  </w:pPr>
                  <w:r w:rsidRPr="00EB492E">
                    <w:rPr>
                      <w:rFonts w:ascii="Helvetica" w:eastAsia="Times New Roman" w:hAnsi="Helvetica" w:cs="Helvetica"/>
                      <w:color w:val="241710"/>
                      <w:sz w:val="23"/>
                      <w:szCs w:val="23"/>
                      <w:lang w:eastAsia="es-ES"/>
                    </w:rPr>
                    <w:t>Sí, hay una gran diferencia entre usar una forma de Q10 o la otra. Si simplemente coloca Q10 en una cápsula de gelatina con una fórmula a base de aceite, no hay garantía de que el cuerpo pueda absorber el principio activo (consulte el gráfico a continuación). Por lo tanto es necesario manipular la materia prima de una manera especial que permita que el sistema digestivo la absorba.</w:t>
                  </w:r>
                  <w:r w:rsidRPr="00EB492E">
                    <w:rPr>
                      <w:rFonts w:ascii="Helvetica" w:eastAsia="Times New Roman" w:hAnsi="Helvetica" w:cs="Helvetica"/>
                      <w:color w:val="241710"/>
                      <w:sz w:val="23"/>
                      <w:szCs w:val="23"/>
                      <w:lang w:eastAsia="es-ES"/>
                    </w:rPr>
                    <w:br/>
                  </w:r>
                  <w:r w:rsidRPr="00EB492E">
                    <w:rPr>
                      <w:rFonts w:ascii="Helvetica" w:eastAsia="Times New Roman" w:hAnsi="Helvetica" w:cs="Helvetica"/>
                      <w:color w:val="241710"/>
                      <w:sz w:val="23"/>
                      <w:szCs w:val="23"/>
                      <w:lang w:eastAsia="es-ES"/>
                    </w:rPr>
                    <w:br/>
                  </w:r>
                  <w:r w:rsidRPr="00EB492E">
                    <w:rPr>
                      <w:rFonts w:ascii="Helvetica" w:eastAsia="Times New Roman" w:hAnsi="Helvetica" w:cs="Helvetica"/>
                      <w:noProof/>
                      <w:color w:val="241710"/>
                      <w:sz w:val="23"/>
                      <w:szCs w:val="23"/>
                      <w:lang w:eastAsia="es-ES"/>
                    </w:rPr>
                    <w:lastRenderedPageBreak/>
                    <w:drawing>
                      <wp:inline distT="0" distB="0" distL="0" distR="0" wp14:anchorId="4D32E863" wp14:editId="3509F901">
                        <wp:extent cx="5242560" cy="2590800"/>
                        <wp:effectExtent l="0" t="0" r="0" b="0"/>
                        <wp:docPr id="2" name="Imagen 2" descr="https://www.pharmanord.es/CKFinderJava/userfiles/images/2019/ES/ES-NEWEST-Graph-Q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harmanord.es/CKFinderJava/userfiles/images/2019/ES/ES-NEWEST-Graph-Q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2590800"/>
                                </a:xfrm>
                                <a:prstGeom prst="rect">
                                  <a:avLst/>
                                </a:prstGeom>
                                <a:noFill/>
                                <a:ln>
                                  <a:noFill/>
                                </a:ln>
                              </pic:spPr>
                            </pic:pic>
                          </a:graphicData>
                        </a:graphic>
                      </wp:inline>
                    </w:drawing>
                  </w:r>
                </w:p>
                <w:p w:rsidR="00EB492E" w:rsidRPr="00EB492E" w:rsidRDefault="00EB492E" w:rsidP="00EB492E">
                  <w:pPr>
                    <w:spacing w:after="0" w:line="300" w:lineRule="atLeast"/>
                    <w:textAlignment w:val="baseline"/>
                    <w:rPr>
                      <w:rFonts w:ascii="Arial" w:eastAsia="Times New Roman" w:hAnsi="Arial" w:cs="Arial"/>
                      <w:i/>
                      <w:iCs/>
                      <w:color w:val="241710"/>
                      <w:sz w:val="23"/>
                      <w:szCs w:val="23"/>
                      <w:lang w:eastAsia="es-ES"/>
                    </w:rPr>
                  </w:pPr>
                  <w:r w:rsidRPr="00EB492E">
                    <w:rPr>
                      <w:rFonts w:ascii="Helvetica" w:eastAsia="Times New Roman" w:hAnsi="Helvetica" w:cs="Helvetica"/>
                      <w:i/>
                      <w:iCs/>
                      <w:color w:val="241710"/>
                      <w:sz w:val="18"/>
                      <w:szCs w:val="18"/>
                      <w:bdr w:val="none" w:sz="0" w:space="0" w:color="auto" w:frame="1"/>
                      <w:lang w:eastAsia="es-ES"/>
                    </w:rPr>
                    <w:t>López-</w:t>
                  </w:r>
                  <w:proofErr w:type="spellStart"/>
                  <w:r w:rsidRPr="00EB492E">
                    <w:rPr>
                      <w:rFonts w:ascii="Helvetica" w:eastAsia="Times New Roman" w:hAnsi="Helvetica" w:cs="Helvetica"/>
                      <w:i/>
                      <w:iCs/>
                      <w:color w:val="241710"/>
                      <w:sz w:val="18"/>
                      <w:szCs w:val="18"/>
                      <w:bdr w:val="none" w:sz="0" w:space="0" w:color="auto" w:frame="1"/>
                      <w:lang w:eastAsia="es-ES"/>
                    </w:rPr>
                    <w:t>Lluch</w:t>
                  </w:r>
                  <w:proofErr w:type="spellEnd"/>
                  <w:r w:rsidRPr="00EB492E">
                    <w:rPr>
                      <w:rFonts w:ascii="Helvetica" w:eastAsia="Times New Roman" w:hAnsi="Helvetica" w:cs="Helvetica"/>
                      <w:i/>
                      <w:iCs/>
                      <w:color w:val="241710"/>
                      <w:sz w:val="18"/>
                      <w:szCs w:val="18"/>
                      <w:bdr w:val="none" w:sz="0" w:space="0" w:color="auto" w:frame="1"/>
                      <w:lang w:eastAsia="es-ES"/>
                    </w:rPr>
                    <w:t xml:space="preserve"> G, et al. </w:t>
                  </w:r>
                  <w:proofErr w:type="spellStart"/>
                  <w:r w:rsidRPr="00EB492E">
                    <w:rPr>
                      <w:rFonts w:ascii="Helvetica" w:eastAsia="Times New Roman" w:hAnsi="Helvetica" w:cs="Helvetica"/>
                      <w:i/>
                      <w:iCs/>
                      <w:color w:val="241710"/>
                      <w:sz w:val="18"/>
                      <w:szCs w:val="18"/>
                      <w:bdr w:val="none" w:sz="0" w:space="0" w:color="auto" w:frame="1"/>
                      <w:lang w:eastAsia="es-ES"/>
                    </w:rPr>
                    <w:t>Bioavailability</w:t>
                  </w:r>
                  <w:proofErr w:type="spellEnd"/>
                  <w:r w:rsidRPr="00EB492E">
                    <w:rPr>
                      <w:rFonts w:ascii="Helvetica" w:eastAsia="Times New Roman" w:hAnsi="Helvetica" w:cs="Helvetica"/>
                      <w:i/>
                      <w:iCs/>
                      <w:color w:val="241710"/>
                      <w:sz w:val="18"/>
                      <w:szCs w:val="18"/>
                      <w:bdr w:val="none" w:sz="0" w:space="0" w:color="auto" w:frame="1"/>
                      <w:lang w:eastAsia="es-ES"/>
                    </w:rPr>
                    <w:t xml:space="preserve"> of </w:t>
                  </w:r>
                  <w:proofErr w:type="spellStart"/>
                  <w:r w:rsidRPr="00EB492E">
                    <w:rPr>
                      <w:rFonts w:ascii="Helvetica" w:eastAsia="Times New Roman" w:hAnsi="Helvetica" w:cs="Helvetica"/>
                      <w:i/>
                      <w:iCs/>
                      <w:color w:val="241710"/>
                      <w:sz w:val="18"/>
                      <w:szCs w:val="18"/>
                      <w:bdr w:val="none" w:sz="0" w:space="0" w:color="auto" w:frame="1"/>
                      <w:lang w:eastAsia="es-ES"/>
                    </w:rPr>
                    <w:t>coenzyme</w:t>
                  </w:r>
                  <w:proofErr w:type="spellEnd"/>
                  <w:r w:rsidRPr="00EB492E">
                    <w:rPr>
                      <w:rFonts w:ascii="Helvetica" w:eastAsia="Times New Roman" w:hAnsi="Helvetica" w:cs="Helvetica"/>
                      <w:i/>
                      <w:iCs/>
                      <w:color w:val="241710"/>
                      <w:sz w:val="18"/>
                      <w:szCs w:val="18"/>
                      <w:bdr w:val="none" w:sz="0" w:space="0" w:color="auto" w:frame="1"/>
                      <w:lang w:eastAsia="es-ES"/>
                    </w:rPr>
                    <w:t xml:space="preserve"> Q10 </w:t>
                  </w:r>
                  <w:proofErr w:type="spellStart"/>
                  <w:r w:rsidRPr="00EB492E">
                    <w:rPr>
                      <w:rFonts w:ascii="Helvetica" w:eastAsia="Times New Roman" w:hAnsi="Helvetica" w:cs="Helvetica"/>
                      <w:i/>
                      <w:iCs/>
                      <w:color w:val="241710"/>
                      <w:sz w:val="18"/>
                      <w:szCs w:val="18"/>
                      <w:bdr w:val="none" w:sz="0" w:space="0" w:color="auto" w:frame="1"/>
                      <w:lang w:eastAsia="es-ES"/>
                    </w:rPr>
                    <w:t>supplements</w:t>
                  </w:r>
                  <w:proofErr w:type="spellEnd"/>
                  <w:r w:rsidRPr="00EB492E">
                    <w:rPr>
                      <w:rFonts w:ascii="Helvetica" w:eastAsia="Times New Roman" w:hAnsi="Helvetica" w:cs="Helvetica"/>
                      <w:i/>
                      <w:iCs/>
                      <w:color w:val="241710"/>
                      <w:sz w:val="18"/>
                      <w:szCs w:val="18"/>
                      <w:bdr w:val="none" w:sz="0" w:space="0" w:color="auto" w:frame="1"/>
                      <w:lang w:eastAsia="es-ES"/>
                    </w:rPr>
                    <w:t xml:space="preserve"> </w:t>
                  </w:r>
                  <w:proofErr w:type="spellStart"/>
                  <w:r w:rsidRPr="00EB492E">
                    <w:rPr>
                      <w:rFonts w:ascii="Helvetica" w:eastAsia="Times New Roman" w:hAnsi="Helvetica" w:cs="Helvetica"/>
                      <w:i/>
                      <w:iCs/>
                      <w:color w:val="241710"/>
                      <w:sz w:val="18"/>
                      <w:szCs w:val="18"/>
                      <w:bdr w:val="none" w:sz="0" w:space="0" w:color="auto" w:frame="1"/>
                      <w:lang w:eastAsia="es-ES"/>
                    </w:rPr>
                    <w:t>depends</w:t>
                  </w:r>
                  <w:proofErr w:type="spellEnd"/>
                  <w:r w:rsidRPr="00EB492E">
                    <w:rPr>
                      <w:rFonts w:ascii="Helvetica" w:eastAsia="Times New Roman" w:hAnsi="Helvetica" w:cs="Helvetica"/>
                      <w:i/>
                      <w:iCs/>
                      <w:color w:val="241710"/>
                      <w:sz w:val="18"/>
                      <w:szCs w:val="18"/>
                      <w:bdr w:val="none" w:sz="0" w:space="0" w:color="auto" w:frame="1"/>
                      <w:lang w:eastAsia="es-ES"/>
                    </w:rPr>
                    <w:t xml:space="preserve"> </w:t>
                  </w:r>
                  <w:proofErr w:type="spellStart"/>
                  <w:r w:rsidRPr="00EB492E">
                    <w:rPr>
                      <w:rFonts w:ascii="Helvetica" w:eastAsia="Times New Roman" w:hAnsi="Helvetica" w:cs="Helvetica"/>
                      <w:i/>
                      <w:iCs/>
                      <w:color w:val="241710"/>
                      <w:sz w:val="18"/>
                      <w:szCs w:val="18"/>
                      <w:bdr w:val="none" w:sz="0" w:space="0" w:color="auto" w:frame="1"/>
                      <w:lang w:eastAsia="es-ES"/>
                    </w:rPr>
                    <w:t>on</w:t>
                  </w:r>
                  <w:proofErr w:type="spellEnd"/>
                  <w:r w:rsidRPr="00EB492E">
                    <w:rPr>
                      <w:rFonts w:ascii="Helvetica" w:eastAsia="Times New Roman" w:hAnsi="Helvetica" w:cs="Helvetica"/>
                      <w:i/>
                      <w:iCs/>
                      <w:color w:val="241710"/>
                      <w:sz w:val="18"/>
                      <w:szCs w:val="18"/>
                      <w:bdr w:val="none" w:sz="0" w:space="0" w:color="auto" w:frame="1"/>
                      <w:lang w:eastAsia="es-ES"/>
                    </w:rPr>
                    <w:t xml:space="preserve"> </w:t>
                  </w:r>
                  <w:proofErr w:type="spellStart"/>
                  <w:r w:rsidRPr="00EB492E">
                    <w:rPr>
                      <w:rFonts w:ascii="Helvetica" w:eastAsia="Times New Roman" w:hAnsi="Helvetica" w:cs="Helvetica"/>
                      <w:i/>
                      <w:iCs/>
                      <w:color w:val="241710"/>
                      <w:sz w:val="18"/>
                      <w:szCs w:val="18"/>
                      <w:bdr w:val="none" w:sz="0" w:space="0" w:color="auto" w:frame="1"/>
                      <w:lang w:eastAsia="es-ES"/>
                    </w:rPr>
                    <w:t>carrier</w:t>
                  </w:r>
                  <w:proofErr w:type="spellEnd"/>
                  <w:r w:rsidRPr="00EB492E">
                    <w:rPr>
                      <w:rFonts w:ascii="Helvetica" w:eastAsia="Times New Roman" w:hAnsi="Helvetica" w:cs="Helvetica"/>
                      <w:i/>
                      <w:iCs/>
                      <w:color w:val="241710"/>
                      <w:sz w:val="18"/>
                      <w:szCs w:val="18"/>
                      <w:bdr w:val="none" w:sz="0" w:space="0" w:color="auto" w:frame="1"/>
                      <w:lang w:eastAsia="es-ES"/>
                    </w:rPr>
                    <w:t xml:space="preserve"> </w:t>
                  </w:r>
                  <w:proofErr w:type="spellStart"/>
                  <w:r w:rsidRPr="00EB492E">
                    <w:rPr>
                      <w:rFonts w:ascii="Helvetica" w:eastAsia="Times New Roman" w:hAnsi="Helvetica" w:cs="Helvetica"/>
                      <w:i/>
                      <w:iCs/>
                      <w:color w:val="241710"/>
                      <w:sz w:val="18"/>
                      <w:szCs w:val="18"/>
                      <w:bdr w:val="none" w:sz="0" w:space="0" w:color="auto" w:frame="1"/>
                      <w:lang w:eastAsia="es-ES"/>
                    </w:rPr>
                    <w:t>lipids</w:t>
                  </w:r>
                  <w:proofErr w:type="spellEnd"/>
                  <w:r w:rsidRPr="00EB492E">
                    <w:rPr>
                      <w:rFonts w:ascii="Helvetica" w:eastAsia="Times New Roman" w:hAnsi="Helvetica" w:cs="Helvetica"/>
                      <w:i/>
                      <w:iCs/>
                      <w:color w:val="241710"/>
                      <w:sz w:val="18"/>
                      <w:szCs w:val="18"/>
                      <w:bdr w:val="none" w:sz="0" w:space="0" w:color="auto" w:frame="1"/>
                      <w:lang w:eastAsia="es-ES"/>
                    </w:rPr>
                    <w:t xml:space="preserve"> and </w:t>
                  </w:r>
                  <w:proofErr w:type="spellStart"/>
                  <w:r w:rsidRPr="00EB492E">
                    <w:rPr>
                      <w:rFonts w:ascii="Helvetica" w:eastAsia="Times New Roman" w:hAnsi="Helvetica" w:cs="Helvetica"/>
                      <w:i/>
                      <w:iCs/>
                      <w:color w:val="241710"/>
                      <w:sz w:val="18"/>
                      <w:szCs w:val="18"/>
                      <w:bdr w:val="none" w:sz="0" w:space="0" w:color="auto" w:frame="1"/>
                      <w:lang w:eastAsia="es-ES"/>
                    </w:rPr>
                    <w:t>solubilization</w:t>
                  </w:r>
                  <w:proofErr w:type="spellEnd"/>
                  <w:r w:rsidRPr="00EB492E">
                    <w:rPr>
                      <w:rFonts w:ascii="Helvetica" w:eastAsia="Times New Roman" w:hAnsi="Helvetica" w:cs="Helvetica"/>
                      <w:i/>
                      <w:iCs/>
                      <w:color w:val="241710"/>
                      <w:sz w:val="18"/>
                      <w:szCs w:val="18"/>
                      <w:bdr w:val="none" w:sz="0" w:space="0" w:color="auto" w:frame="1"/>
                      <w:lang w:eastAsia="es-ES"/>
                    </w:rPr>
                    <w:t xml:space="preserve">. </w:t>
                  </w:r>
                  <w:proofErr w:type="spellStart"/>
                  <w:r w:rsidRPr="00EB492E">
                    <w:rPr>
                      <w:rFonts w:ascii="Helvetica" w:eastAsia="Times New Roman" w:hAnsi="Helvetica" w:cs="Helvetica"/>
                      <w:i/>
                      <w:iCs/>
                      <w:color w:val="241710"/>
                      <w:sz w:val="18"/>
                      <w:szCs w:val="18"/>
                      <w:bdr w:val="none" w:sz="0" w:space="0" w:color="auto" w:frame="1"/>
                      <w:lang w:eastAsia="es-ES"/>
                    </w:rPr>
                    <w:t>Nutrition</w:t>
                  </w:r>
                  <w:proofErr w:type="spellEnd"/>
                  <w:r w:rsidRPr="00EB492E">
                    <w:rPr>
                      <w:rFonts w:ascii="Helvetica" w:eastAsia="Times New Roman" w:hAnsi="Helvetica" w:cs="Helvetica"/>
                      <w:i/>
                      <w:iCs/>
                      <w:color w:val="241710"/>
                      <w:sz w:val="18"/>
                      <w:szCs w:val="18"/>
                      <w:bdr w:val="none" w:sz="0" w:space="0" w:color="auto" w:frame="1"/>
                      <w:lang w:eastAsia="es-ES"/>
                    </w:rPr>
                    <w:t xml:space="preserve"> 2018 Jun 27;57:133-140</w:t>
                  </w:r>
                </w:p>
                <w:p w:rsidR="00EB492E" w:rsidRPr="00EB492E" w:rsidRDefault="00EB492E" w:rsidP="00EB492E">
                  <w:pPr>
                    <w:spacing w:after="150" w:line="336" w:lineRule="atLeast"/>
                    <w:textAlignment w:val="baseline"/>
                    <w:outlineLvl w:val="1"/>
                    <w:rPr>
                      <w:rFonts w:ascii="Helvetica" w:eastAsia="Times New Roman" w:hAnsi="Helvetica" w:cs="Helvetica"/>
                      <w:b/>
                      <w:bCs/>
                      <w:color w:val="241710"/>
                      <w:sz w:val="28"/>
                      <w:szCs w:val="28"/>
                      <w:lang w:eastAsia="es-ES"/>
                    </w:rPr>
                  </w:pPr>
                  <w:r w:rsidRPr="00EB492E">
                    <w:rPr>
                      <w:rFonts w:ascii="Helvetica" w:eastAsia="Times New Roman" w:hAnsi="Helvetica" w:cs="Helvetica"/>
                      <w:b/>
                      <w:bCs/>
                      <w:color w:val="241710"/>
                      <w:sz w:val="28"/>
                      <w:szCs w:val="28"/>
                      <w:lang w:eastAsia="es-ES"/>
                    </w:rPr>
                    <w:t>El estudio muestra enormes variaciones en la calidad</w:t>
                  </w:r>
                </w:p>
                <w:p w:rsidR="00EB492E" w:rsidRPr="00EB492E" w:rsidRDefault="00EB492E" w:rsidP="00EB492E">
                  <w:pPr>
                    <w:spacing w:after="240" w:line="336" w:lineRule="atLeast"/>
                    <w:textAlignment w:val="baseline"/>
                    <w:rPr>
                      <w:rFonts w:ascii="Helvetica" w:eastAsia="Times New Roman" w:hAnsi="Helvetica" w:cs="Helvetica"/>
                      <w:color w:val="241710"/>
                      <w:sz w:val="23"/>
                      <w:szCs w:val="23"/>
                      <w:lang w:eastAsia="es-ES"/>
                    </w:rPr>
                  </w:pPr>
                  <w:r w:rsidRPr="00EB492E">
                    <w:rPr>
                      <w:rFonts w:ascii="Helvetica" w:eastAsia="Times New Roman" w:hAnsi="Helvetica" w:cs="Helvetica"/>
                      <w:color w:val="241710"/>
                      <w:sz w:val="23"/>
                      <w:szCs w:val="23"/>
                      <w:lang w:eastAsia="es-ES"/>
                    </w:rPr>
                    <w:t>El cuadro que se muestra arriba es de un estudio que se publicó en la revista de ciencia, “</w:t>
                  </w:r>
                  <w:proofErr w:type="spellStart"/>
                  <w:r w:rsidRPr="00EB492E">
                    <w:rPr>
                      <w:rFonts w:ascii="Helvetica" w:eastAsia="Times New Roman" w:hAnsi="Helvetica" w:cs="Helvetica"/>
                      <w:color w:val="241710"/>
                      <w:sz w:val="23"/>
                      <w:szCs w:val="23"/>
                      <w:lang w:eastAsia="es-ES"/>
                    </w:rPr>
                    <w:t>Nutrition</w:t>
                  </w:r>
                  <w:proofErr w:type="spellEnd"/>
                  <w:r w:rsidRPr="00EB492E">
                    <w:rPr>
                      <w:rFonts w:ascii="Helvetica" w:eastAsia="Times New Roman" w:hAnsi="Helvetica" w:cs="Helvetica"/>
                      <w:color w:val="241710"/>
                      <w:sz w:val="23"/>
                      <w:szCs w:val="23"/>
                      <w:lang w:eastAsia="es-ES"/>
                    </w:rPr>
                    <w:t>”. La figura revela que hay enormes diferencias entre los preparados de Q10 y su absorción en el cuerpo humano. En este estudio, algunos productos apenas fueron absorbidos.</w:t>
                  </w:r>
                </w:p>
              </w:tc>
            </w:tr>
          </w:tbl>
          <w:p w:rsidR="00EB492E" w:rsidRPr="00EB492E" w:rsidRDefault="00EB492E" w:rsidP="00EB492E">
            <w:pPr>
              <w:spacing w:after="0" w:line="336" w:lineRule="atLeast"/>
              <w:rPr>
                <w:rFonts w:ascii="Helvetica" w:eastAsia="Times New Roman" w:hAnsi="Helvetica" w:cs="Helvetica"/>
                <w:color w:val="241710"/>
                <w:sz w:val="23"/>
                <w:szCs w:val="23"/>
                <w:lang w:eastAsia="es-ES"/>
              </w:rPr>
            </w:pPr>
          </w:p>
        </w:tc>
      </w:tr>
      <w:tr w:rsidR="00EB492E" w:rsidRPr="00EB492E" w:rsidTr="00EB492E">
        <w:trPr>
          <w:trHeight w:val="108"/>
        </w:trPr>
        <w:tc>
          <w:tcPr>
            <w:tcW w:w="0" w:type="auto"/>
            <w:tcBorders>
              <w:top w:val="nil"/>
              <w:left w:val="nil"/>
              <w:bottom w:val="nil"/>
              <w:right w:val="nil"/>
            </w:tcBorders>
            <w:shd w:val="clear" w:color="auto" w:fill="auto"/>
            <w:vAlign w:val="bottom"/>
            <w:hideMark/>
          </w:tcPr>
          <w:p w:rsidR="00EB492E" w:rsidRPr="00EB492E" w:rsidRDefault="00EB492E" w:rsidP="00EB492E">
            <w:pPr>
              <w:spacing w:after="0" w:line="108" w:lineRule="atLeast"/>
              <w:rPr>
                <w:rFonts w:ascii="Helvetica" w:eastAsia="Times New Roman" w:hAnsi="Helvetica" w:cs="Helvetica"/>
                <w:color w:val="241710"/>
                <w:sz w:val="14"/>
                <w:szCs w:val="14"/>
                <w:lang w:eastAsia="es-ES"/>
              </w:rPr>
            </w:pPr>
            <w:r w:rsidRPr="00EB492E">
              <w:rPr>
                <w:rFonts w:ascii="Helvetica" w:eastAsia="Times New Roman" w:hAnsi="Helvetica" w:cs="Helvetica"/>
                <w:color w:val="241710"/>
                <w:sz w:val="14"/>
                <w:szCs w:val="14"/>
                <w:lang w:eastAsia="es-ES"/>
              </w:rPr>
              <w:lastRenderedPageBreak/>
              <w:t> </w:t>
            </w:r>
          </w:p>
        </w:tc>
      </w:tr>
      <w:tr w:rsidR="00EB492E" w:rsidRPr="00EB492E" w:rsidTr="00EB492E">
        <w:tc>
          <w:tcPr>
            <w:tcW w:w="0" w:type="auto"/>
            <w:tcBorders>
              <w:top w:val="nil"/>
              <w:left w:val="nil"/>
              <w:bottom w:val="nil"/>
              <w:right w:val="nil"/>
            </w:tcBorders>
            <w:shd w:val="clear" w:color="auto" w:fill="auto"/>
            <w:vAlign w:val="bottom"/>
            <w:hideMark/>
          </w:tcPr>
          <w:tbl>
            <w:tblPr>
              <w:tblpPr w:leftFromText="36" w:rightFromText="36" w:vertAnchor="text"/>
              <w:tblW w:w="9000" w:type="dxa"/>
              <w:shd w:val="clear" w:color="auto" w:fill="FFFFFF"/>
              <w:tblCellMar>
                <w:left w:w="0" w:type="dxa"/>
                <w:right w:w="0" w:type="dxa"/>
              </w:tblCellMar>
              <w:tblLook w:val="04A0" w:firstRow="1" w:lastRow="0" w:firstColumn="1" w:lastColumn="0" w:noHBand="0" w:noVBand="1"/>
            </w:tblPr>
            <w:tblGrid>
              <w:gridCol w:w="9000"/>
            </w:tblGrid>
            <w:tr w:rsidR="00EB492E" w:rsidRPr="00EB492E">
              <w:tc>
                <w:tcPr>
                  <w:tcW w:w="0" w:type="auto"/>
                  <w:tcBorders>
                    <w:top w:val="nil"/>
                    <w:left w:val="nil"/>
                    <w:bottom w:val="nil"/>
                    <w:right w:val="nil"/>
                  </w:tcBorders>
                  <w:shd w:val="clear" w:color="auto" w:fill="auto"/>
                  <w:tcMar>
                    <w:top w:w="225" w:type="dxa"/>
                    <w:left w:w="225" w:type="dxa"/>
                    <w:bottom w:w="225" w:type="dxa"/>
                    <w:right w:w="225" w:type="dxa"/>
                  </w:tcMar>
                  <w:hideMark/>
                </w:tcPr>
                <w:p w:rsidR="00EB492E" w:rsidRPr="00EB492E" w:rsidRDefault="00EB492E" w:rsidP="00EB492E">
                  <w:pPr>
                    <w:spacing w:after="150" w:line="336" w:lineRule="atLeast"/>
                    <w:textAlignment w:val="baseline"/>
                    <w:outlineLvl w:val="1"/>
                    <w:rPr>
                      <w:rFonts w:ascii="Helvetica" w:eastAsia="Times New Roman" w:hAnsi="Helvetica" w:cs="Helvetica"/>
                      <w:b/>
                      <w:bCs/>
                      <w:color w:val="241710"/>
                      <w:sz w:val="28"/>
                      <w:szCs w:val="28"/>
                      <w:lang w:eastAsia="es-ES"/>
                    </w:rPr>
                  </w:pPr>
                  <w:r w:rsidRPr="00EB492E">
                    <w:rPr>
                      <w:rFonts w:ascii="Helvetica" w:eastAsia="Times New Roman" w:hAnsi="Helvetica" w:cs="Helvetica"/>
                      <w:b/>
                      <w:bCs/>
                      <w:color w:val="241710"/>
                      <w:sz w:val="28"/>
                      <w:szCs w:val="28"/>
                      <w:lang w:eastAsia="es-ES"/>
                    </w:rPr>
                    <w:t>Absorber la Q10, es difícil para el cuerpo</w:t>
                  </w:r>
                </w:p>
                <w:p w:rsidR="00EB492E" w:rsidRPr="00EB492E" w:rsidRDefault="00EB492E" w:rsidP="00EB492E">
                  <w:pPr>
                    <w:spacing w:after="240" w:line="336" w:lineRule="atLeast"/>
                    <w:textAlignment w:val="baseline"/>
                    <w:rPr>
                      <w:rFonts w:ascii="Helvetica" w:eastAsia="Times New Roman" w:hAnsi="Helvetica" w:cs="Helvetica"/>
                      <w:color w:val="241710"/>
                      <w:sz w:val="23"/>
                      <w:szCs w:val="23"/>
                      <w:lang w:eastAsia="es-ES"/>
                    </w:rPr>
                  </w:pPr>
                  <w:r w:rsidRPr="00EB492E">
                    <w:rPr>
                      <w:rFonts w:ascii="Helvetica" w:eastAsia="Times New Roman" w:hAnsi="Helvetica" w:cs="Helvetica"/>
                      <w:color w:val="241710"/>
                      <w:sz w:val="23"/>
                      <w:szCs w:val="23"/>
                      <w:lang w:eastAsia="es-ES"/>
                    </w:rPr>
                    <w:t xml:space="preserve">No es sorprendente que la mayoría de las formulaciones de Q10 tengan una biodisponibilidad deficiente. En todas las materias primas de Q10, independientemente de su calidad, las moléculas Q10 forman cristales insolubles y no digeribles que no pueden pasar a través de la pared intestinal y alcanzar el torrente sanguíneo. </w:t>
                  </w:r>
                  <w:proofErr w:type="spellStart"/>
                  <w:r w:rsidRPr="00EB492E">
                    <w:rPr>
                      <w:rFonts w:ascii="Helvetica" w:eastAsia="Times New Roman" w:hAnsi="Helvetica" w:cs="Helvetica"/>
                      <w:color w:val="241710"/>
                      <w:sz w:val="23"/>
                      <w:szCs w:val="23"/>
                      <w:lang w:eastAsia="es-ES"/>
                    </w:rPr>
                    <w:t>Pharma</w:t>
                  </w:r>
                  <w:proofErr w:type="spellEnd"/>
                  <w:r w:rsidRPr="00EB492E">
                    <w:rPr>
                      <w:rFonts w:ascii="Helvetica" w:eastAsia="Times New Roman" w:hAnsi="Helvetica" w:cs="Helvetica"/>
                      <w:color w:val="241710"/>
                      <w:sz w:val="23"/>
                      <w:szCs w:val="23"/>
                      <w:lang w:eastAsia="es-ES"/>
                    </w:rPr>
                    <w:t xml:space="preserve"> Nord ha desarrollado y obtenido una patente sobre una técnica de fabricación especial que permite que estos cristales Q10 se disuelvan a la temperatura corporal normal. Para que esto suceda, necesita mezclar los cristales Q10 con aceites que tienen diferentes puntos de fusión y luego calentar las mezclas de una manera específica. Este procedimiento organiza las moléculas Q10 de forma individual, para que puedan pasar a través de la pared intestinal y entrar en el torrente sanguíneo.</w:t>
                  </w:r>
                </w:p>
                <w:p w:rsidR="00EB492E" w:rsidRPr="00EB492E" w:rsidRDefault="00EB492E" w:rsidP="00EB492E">
                  <w:pPr>
                    <w:spacing w:after="150" w:line="336" w:lineRule="atLeast"/>
                    <w:textAlignment w:val="baseline"/>
                    <w:outlineLvl w:val="1"/>
                    <w:rPr>
                      <w:rFonts w:ascii="Helvetica" w:eastAsia="Times New Roman" w:hAnsi="Helvetica" w:cs="Helvetica"/>
                      <w:b/>
                      <w:bCs/>
                      <w:color w:val="241710"/>
                      <w:sz w:val="28"/>
                      <w:szCs w:val="28"/>
                      <w:lang w:eastAsia="es-ES"/>
                    </w:rPr>
                  </w:pPr>
                  <w:r w:rsidRPr="00EB492E">
                    <w:rPr>
                      <w:rFonts w:ascii="Helvetica" w:eastAsia="Times New Roman" w:hAnsi="Helvetica" w:cs="Helvetica"/>
                      <w:b/>
                      <w:bCs/>
                      <w:color w:val="241710"/>
                      <w:sz w:val="28"/>
                      <w:szCs w:val="28"/>
                      <w:lang w:eastAsia="es-ES"/>
                    </w:rPr>
                    <w:t>¿El preparado original de Q10 solo está disponible con receta médica?</w:t>
                  </w:r>
                </w:p>
                <w:p w:rsidR="00EB492E" w:rsidRPr="00EB492E" w:rsidRDefault="00EB492E" w:rsidP="00EB492E">
                  <w:pPr>
                    <w:spacing w:after="240" w:line="336" w:lineRule="atLeast"/>
                    <w:textAlignment w:val="baseline"/>
                    <w:rPr>
                      <w:rFonts w:ascii="Helvetica" w:eastAsia="Times New Roman" w:hAnsi="Helvetica" w:cs="Helvetica"/>
                      <w:color w:val="241710"/>
                      <w:sz w:val="23"/>
                      <w:szCs w:val="23"/>
                      <w:lang w:eastAsia="es-ES"/>
                    </w:rPr>
                  </w:pPr>
                  <w:r w:rsidRPr="00EB492E">
                    <w:rPr>
                      <w:rFonts w:ascii="Helvetica" w:eastAsia="Times New Roman" w:hAnsi="Helvetica" w:cs="Helvetica"/>
                      <w:color w:val="241710"/>
                      <w:sz w:val="23"/>
                      <w:szCs w:val="23"/>
                      <w:lang w:eastAsia="es-ES"/>
                    </w:rPr>
                    <w:t xml:space="preserve">No, también está disponible como complemento nutricional. La formulación original de Q10, </w:t>
                  </w:r>
                  <w:proofErr w:type="spellStart"/>
                  <w:r w:rsidRPr="00EB492E">
                    <w:rPr>
                      <w:rFonts w:ascii="Helvetica" w:eastAsia="Times New Roman" w:hAnsi="Helvetica" w:cs="Helvetica"/>
                      <w:color w:val="241710"/>
                      <w:sz w:val="23"/>
                      <w:szCs w:val="23"/>
                      <w:lang w:eastAsia="es-ES"/>
                    </w:rPr>
                    <w:t>Myoquinone</w:t>
                  </w:r>
                  <w:proofErr w:type="spellEnd"/>
                  <w:r w:rsidRPr="00EB492E">
                    <w:rPr>
                      <w:rFonts w:ascii="Helvetica" w:eastAsia="Times New Roman" w:hAnsi="Helvetica" w:cs="Helvetica"/>
                      <w:color w:val="241710"/>
                      <w:sz w:val="23"/>
                      <w:szCs w:val="23"/>
                      <w:lang w:eastAsia="es-ES"/>
                    </w:rPr>
                    <w:t xml:space="preserve">, es un medicamento fabricado mediante aceites especiales y </w:t>
                  </w:r>
                  <w:r w:rsidRPr="00EB492E">
                    <w:rPr>
                      <w:rFonts w:ascii="Helvetica" w:eastAsia="Times New Roman" w:hAnsi="Helvetica" w:cs="Helvetica"/>
                      <w:color w:val="241710"/>
                      <w:sz w:val="23"/>
                      <w:szCs w:val="23"/>
                      <w:lang w:eastAsia="es-ES"/>
                    </w:rPr>
                    <w:lastRenderedPageBreak/>
                    <w:t xml:space="preserve">el tratamiento de calentamiento como se describió anteriormente. Ahora, este preparado de Q10 también está disponible como un complemento nutricional, que se fabrica utilizando el mismo método patentado. El producto se vende con varios nombres, en España el producto se comercializa con el nombre de </w:t>
                  </w:r>
                  <w:proofErr w:type="spellStart"/>
                  <w:r w:rsidRPr="00EB492E">
                    <w:rPr>
                      <w:rFonts w:ascii="Helvetica" w:eastAsia="Times New Roman" w:hAnsi="Helvetica" w:cs="Helvetica"/>
                      <w:color w:val="241710"/>
                      <w:sz w:val="23"/>
                      <w:szCs w:val="23"/>
                      <w:lang w:eastAsia="es-ES"/>
                    </w:rPr>
                    <w:t>ActiveComplex</w:t>
                  </w:r>
                  <w:proofErr w:type="spellEnd"/>
                  <w:r w:rsidRPr="00EB492E">
                    <w:rPr>
                      <w:rFonts w:ascii="Helvetica" w:eastAsia="Times New Roman" w:hAnsi="Helvetica" w:cs="Helvetica"/>
                      <w:color w:val="241710"/>
                      <w:sz w:val="23"/>
                      <w:szCs w:val="23"/>
                      <w:lang w:eastAsia="es-ES"/>
                    </w:rPr>
                    <w:t xml:space="preserve"> Q10 Gold.</w:t>
                  </w:r>
                </w:p>
              </w:tc>
            </w:tr>
          </w:tbl>
          <w:p w:rsidR="00EB492E" w:rsidRPr="00EB492E" w:rsidRDefault="00EB492E" w:rsidP="00EB492E">
            <w:pPr>
              <w:spacing w:after="0" w:line="336" w:lineRule="atLeast"/>
              <w:rPr>
                <w:rFonts w:ascii="Helvetica" w:eastAsia="Times New Roman" w:hAnsi="Helvetica" w:cs="Helvetica"/>
                <w:color w:val="241710"/>
                <w:sz w:val="23"/>
                <w:szCs w:val="23"/>
                <w:lang w:eastAsia="es-ES"/>
              </w:rPr>
            </w:pPr>
          </w:p>
        </w:tc>
      </w:tr>
      <w:tr w:rsidR="00EB492E" w:rsidRPr="00EB492E" w:rsidTr="00EB492E">
        <w:trPr>
          <w:trHeight w:val="108"/>
        </w:trPr>
        <w:tc>
          <w:tcPr>
            <w:tcW w:w="0" w:type="auto"/>
            <w:tcBorders>
              <w:top w:val="nil"/>
              <w:left w:val="nil"/>
              <w:bottom w:val="nil"/>
              <w:right w:val="nil"/>
            </w:tcBorders>
            <w:shd w:val="clear" w:color="auto" w:fill="auto"/>
            <w:vAlign w:val="bottom"/>
            <w:hideMark/>
          </w:tcPr>
          <w:p w:rsidR="00EB492E" w:rsidRPr="00EB492E" w:rsidRDefault="00EB492E" w:rsidP="00EB492E">
            <w:pPr>
              <w:spacing w:after="0" w:line="108" w:lineRule="atLeast"/>
              <w:rPr>
                <w:rFonts w:ascii="Helvetica" w:eastAsia="Times New Roman" w:hAnsi="Helvetica" w:cs="Helvetica"/>
                <w:color w:val="241710"/>
                <w:sz w:val="14"/>
                <w:szCs w:val="14"/>
                <w:lang w:eastAsia="es-ES"/>
              </w:rPr>
            </w:pPr>
            <w:r w:rsidRPr="00EB492E">
              <w:rPr>
                <w:rFonts w:ascii="Helvetica" w:eastAsia="Times New Roman" w:hAnsi="Helvetica" w:cs="Helvetica"/>
                <w:color w:val="241710"/>
                <w:sz w:val="14"/>
                <w:szCs w:val="14"/>
                <w:lang w:eastAsia="es-ES"/>
              </w:rPr>
              <w:lastRenderedPageBreak/>
              <w:t> </w:t>
            </w:r>
          </w:p>
        </w:tc>
      </w:tr>
      <w:tr w:rsidR="00EB492E" w:rsidRPr="00EB492E" w:rsidTr="00EB492E">
        <w:tc>
          <w:tcPr>
            <w:tcW w:w="0" w:type="auto"/>
            <w:tcBorders>
              <w:top w:val="nil"/>
              <w:left w:val="nil"/>
              <w:bottom w:val="nil"/>
              <w:right w:val="nil"/>
            </w:tcBorders>
            <w:shd w:val="clear" w:color="auto" w:fill="auto"/>
            <w:vAlign w:val="bottom"/>
            <w:hideMark/>
          </w:tcPr>
          <w:tbl>
            <w:tblPr>
              <w:tblpPr w:leftFromText="36" w:rightFromText="36" w:vertAnchor="text"/>
              <w:tblW w:w="9000" w:type="dxa"/>
              <w:shd w:val="clear" w:color="auto" w:fill="FFFFFF"/>
              <w:tblCellMar>
                <w:left w:w="0" w:type="dxa"/>
                <w:right w:w="0" w:type="dxa"/>
              </w:tblCellMar>
              <w:tblLook w:val="04A0" w:firstRow="1" w:lastRow="0" w:firstColumn="1" w:lastColumn="0" w:noHBand="0" w:noVBand="1"/>
            </w:tblPr>
            <w:tblGrid>
              <w:gridCol w:w="9000"/>
            </w:tblGrid>
            <w:tr w:rsidR="00EB492E" w:rsidRPr="00EB492E">
              <w:tc>
                <w:tcPr>
                  <w:tcW w:w="0" w:type="auto"/>
                  <w:tcBorders>
                    <w:top w:val="nil"/>
                    <w:left w:val="nil"/>
                    <w:bottom w:val="nil"/>
                    <w:right w:val="nil"/>
                  </w:tcBorders>
                  <w:shd w:val="clear" w:color="auto" w:fill="auto"/>
                  <w:tcMar>
                    <w:top w:w="225" w:type="dxa"/>
                    <w:left w:w="225" w:type="dxa"/>
                    <w:bottom w:w="225" w:type="dxa"/>
                    <w:right w:w="225" w:type="dxa"/>
                  </w:tcMar>
                  <w:hideMark/>
                </w:tcPr>
                <w:p w:rsidR="00EB492E" w:rsidRPr="00EB492E" w:rsidRDefault="00EB492E" w:rsidP="00EB492E">
                  <w:pPr>
                    <w:spacing w:after="150" w:line="336" w:lineRule="atLeast"/>
                    <w:textAlignment w:val="baseline"/>
                    <w:outlineLvl w:val="1"/>
                    <w:rPr>
                      <w:rFonts w:ascii="Helvetica" w:eastAsia="Times New Roman" w:hAnsi="Helvetica" w:cs="Helvetica"/>
                      <w:b/>
                      <w:bCs/>
                      <w:color w:val="241710"/>
                      <w:sz w:val="28"/>
                      <w:szCs w:val="28"/>
                      <w:lang w:eastAsia="es-ES"/>
                    </w:rPr>
                  </w:pPr>
                  <w:r w:rsidRPr="00EB492E">
                    <w:rPr>
                      <w:rFonts w:ascii="Helvetica" w:eastAsia="Times New Roman" w:hAnsi="Helvetica" w:cs="Helvetica"/>
                      <w:b/>
                      <w:bCs/>
                      <w:color w:val="241710"/>
                      <w:sz w:val="28"/>
                      <w:szCs w:val="28"/>
                      <w:lang w:eastAsia="es-ES"/>
                    </w:rPr>
                    <w:t>El proceso de patentado marcó la diferencia</w:t>
                  </w:r>
                </w:p>
                <w:p w:rsidR="00EB492E" w:rsidRPr="00EB492E" w:rsidRDefault="00EB492E" w:rsidP="00EB492E">
                  <w:pPr>
                    <w:spacing w:after="240" w:line="336" w:lineRule="atLeast"/>
                    <w:textAlignment w:val="baseline"/>
                    <w:rPr>
                      <w:rFonts w:ascii="Helvetica" w:eastAsia="Times New Roman" w:hAnsi="Helvetica" w:cs="Helvetica"/>
                      <w:color w:val="241710"/>
                      <w:sz w:val="23"/>
                      <w:szCs w:val="23"/>
                      <w:lang w:eastAsia="es-ES"/>
                    </w:rPr>
                  </w:pPr>
                  <w:r w:rsidRPr="00EB492E">
                    <w:rPr>
                      <w:rFonts w:ascii="Helvetica" w:eastAsia="Times New Roman" w:hAnsi="Helvetica" w:cs="Helvetica"/>
                      <w:color w:val="241710"/>
                      <w:sz w:val="23"/>
                      <w:szCs w:val="23"/>
                      <w:lang w:eastAsia="es-ES"/>
                    </w:rPr>
                    <w:t xml:space="preserve">En 1991, </w:t>
                  </w:r>
                  <w:proofErr w:type="spellStart"/>
                  <w:r w:rsidRPr="00EB492E">
                    <w:rPr>
                      <w:rFonts w:ascii="Helvetica" w:eastAsia="Times New Roman" w:hAnsi="Helvetica" w:cs="Helvetica"/>
                      <w:color w:val="241710"/>
                      <w:sz w:val="23"/>
                      <w:szCs w:val="23"/>
                      <w:lang w:eastAsia="es-ES"/>
                    </w:rPr>
                    <w:t>Pharma</w:t>
                  </w:r>
                  <w:proofErr w:type="spellEnd"/>
                  <w:r w:rsidRPr="00EB492E">
                    <w:rPr>
                      <w:rFonts w:ascii="Helvetica" w:eastAsia="Times New Roman" w:hAnsi="Helvetica" w:cs="Helvetica"/>
                      <w:color w:val="241710"/>
                      <w:sz w:val="23"/>
                      <w:szCs w:val="23"/>
                      <w:lang w:eastAsia="es-ES"/>
                    </w:rPr>
                    <w:t xml:space="preserve"> Nord comenzó a utilizar un método de fabricación especial que desde entonces ha sido refinado y patentado. Esta fórmula altamente especializada de Q10 se ha utilizado en algunos de los estudios científicos más importantes de Q10 que se hayan llevado a cabo, y es debido a la biodisponibilidad documentada que la fórmula Q10 de </w:t>
                  </w:r>
                  <w:proofErr w:type="spellStart"/>
                  <w:r w:rsidRPr="00EB492E">
                    <w:rPr>
                      <w:rFonts w:ascii="Helvetica" w:eastAsia="Times New Roman" w:hAnsi="Helvetica" w:cs="Helvetica"/>
                      <w:color w:val="241710"/>
                      <w:sz w:val="23"/>
                      <w:szCs w:val="23"/>
                      <w:lang w:eastAsia="es-ES"/>
                    </w:rPr>
                    <w:t>Pharma</w:t>
                  </w:r>
                  <w:proofErr w:type="spellEnd"/>
                  <w:r w:rsidRPr="00EB492E">
                    <w:rPr>
                      <w:rFonts w:ascii="Helvetica" w:eastAsia="Times New Roman" w:hAnsi="Helvetica" w:cs="Helvetica"/>
                      <w:color w:val="241710"/>
                      <w:sz w:val="23"/>
                      <w:szCs w:val="23"/>
                      <w:lang w:eastAsia="es-ES"/>
                    </w:rPr>
                    <w:t xml:space="preserve"> Nord se ha convertido en la referencia científica oficial de la Asociación Internacional de Coenzima Q10 (ICQA ).</w:t>
                  </w:r>
                  <w:r w:rsidRPr="00EB492E">
                    <w:rPr>
                      <w:rFonts w:ascii="Helvetica" w:eastAsia="Times New Roman" w:hAnsi="Helvetica" w:cs="Helvetica"/>
                      <w:color w:val="241710"/>
                      <w:sz w:val="23"/>
                      <w:szCs w:val="23"/>
                      <w:lang w:eastAsia="es-ES"/>
                    </w:rPr>
                    <w:br/>
                  </w:r>
                  <w:r w:rsidRPr="00EB492E">
                    <w:rPr>
                      <w:rFonts w:ascii="Helvetica" w:eastAsia="Times New Roman" w:hAnsi="Helvetica" w:cs="Helvetica"/>
                      <w:color w:val="241710"/>
                      <w:sz w:val="23"/>
                      <w:szCs w:val="23"/>
                      <w:lang w:eastAsia="es-ES"/>
                    </w:rPr>
                    <w:br/>
                  </w:r>
                  <w:r w:rsidRPr="00EB492E">
                    <w:rPr>
                      <w:rFonts w:ascii="Helvetica" w:eastAsia="Times New Roman" w:hAnsi="Helvetica" w:cs="Helvetica"/>
                      <w:noProof/>
                      <w:color w:val="241710"/>
                      <w:sz w:val="23"/>
                      <w:szCs w:val="23"/>
                      <w:lang w:eastAsia="es-ES"/>
                    </w:rPr>
                    <w:drawing>
                      <wp:inline distT="0" distB="0" distL="0" distR="0" wp14:anchorId="5A0859ED" wp14:editId="0D6EB38A">
                        <wp:extent cx="5242560" cy="2377440"/>
                        <wp:effectExtent l="0" t="0" r="0" b="3810"/>
                        <wp:docPr id="3" name="Imagen 3" descr="https://www.pharmanord.es/CKFinderJava/userfiles/images/2019/ES/Crystals-difference_version-2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harmanord.es/CKFinderJava/userfiles/images/2019/ES/Crystals-difference_version-2_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2377440"/>
                                </a:xfrm>
                                <a:prstGeom prst="rect">
                                  <a:avLst/>
                                </a:prstGeom>
                                <a:noFill/>
                                <a:ln>
                                  <a:noFill/>
                                </a:ln>
                              </pic:spPr>
                            </pic:pic>
                          </a:graphicData>
                        </a:graphic>
                      </wp:inline>
                    </w:drawing>
                  </w:r>
                </w:p>
                <w:p w:rsidR="00EB492E" w:rsidRPr="00EB492E" w:rsidRDefault="00EB492E" w:rsidP="00EB492E">
                  <w:pPr>
                    <w:spacing w:after="150" w:line="336" w:lineRule="atLeast"/>
                    <w:textAlignment w:val="baseline"/>
                    <w:outlineLvl w:val="1"/>
                    <w:rPr>
                      <w:rFonts w:ascii="Helvetica" w:eastAsia="Times New Roman" w:hAnsi="Helvetica" w:cs="Helvetica"/>
                      <w:b/>
                      <w:bCs/>
                      <w:color w:val="241710"/>
                      <w:sz w:val="28"/>
                      <w:szCs w:val="28"/>
                      <w:lang w:eastAsia="es-ES"/>
                    </w:rPr>
                  </w:pPr>
                  <w:r w:rsidRPr="00EB492E">
                    <w:rPr>
                      <w:rFonts w:ascii="Helvetica" w:eastAsia="Times New Roman" w:hAnsi="Helvetica" w:cs="Helvetica"/>
                      <w:b/>
                      <w:bCs/>
                      <w:color w:val="241710"/>
                      <w:sz w:val="28"/>
                      <w:szCs w:val="28"/>
                      <w:lang w:eastAsia="es-ES"/>
                    </w:rPr>
                    <w:t>Comprar barato puede ser caro</w:t>
                  </w:r>
                </w:p>
                <w:p w:rsidR="00EB492E" w:rsidRPr="00EB492E" w:rsidRDefault="00EB492E" w:rsidP="00EB492E">
                  <w:pPr>
                    <w:spacing w:after="240" w:line="336" w:lineRule="atLeast"/>
                    <w:textAlignment w:val="baseline"/>
                    <w:rPr>
                      <w:rFonts w:ascii="Helvetica" w:eastAsia="Times New Roman" w:hAnsi="Helvetica" w:cs="Helvetica"/>
                      <w:color w:val="241710"/>
                      <w:sz w:val="23"/>
                      <w:szCs w:val="23"/>
                      <w:lang w:eastAsia="es-ES"/>
                    </w:rPr>
                  </w:pPr>
                  <w:r w:rsidRPr="00EB492E">
                    <w:rPr>
                      <w:rFonts w:ascii="Helvetica" w:eastAsia="Times New Roman" w:hAnsi="Helvetica" w:cs="Helvetica"/>
                      <w:color w:val="241710"/>
                      <w:sz w:val="23"/>
                      <w:szCs w:val="23"/>
                      <w:lang w:eastAsia="es-ES"/>
                    </w:rPr>
                    <w:t>Comprar un preparado de CoQ10 que el cuerpo no absorba puede ser bastante barato en comparación con otros productos. Sin embargo, no se aprovechan sus beneficios. La CoQ10 que simplemente pasa por el sistema digestivo sin absorberse no tendrá ningún efecto. Por el contrario, tiene sentido elegir un preparado que contenga documentación sobre su absorción. Incluso si el precio es ligeramente más alto, aún sale a cuenta.</w:t>
                  </w:r>
                </w:p>
              </w:tc>
            </w:tr>
          </w:tbl>
          <w:p w:rsidR="00EB492E" w:rsidRPr="00EB492E" w:rsidRDefault="00EB492E" w:rsidP="00EB492E">
            <w:pPr>
              <w:spacing w:after="0" w:line="336" w:lineRule="atLeast"/>
              <w:rPr>
                <w:rFonts w:ascii="Helvetica" w:eastAsia="Times New Roman" w:hAnsi="Helvetica" w:cs="Helvetica"/>
                <w:color w:val="241710"/>
                <w:sz w:val="23"/>
                <w:szCs w:val="23"/>
                <w:lang w:eastAsia="es-ES"/>
              </w:rPr>
            </w:pPr>
          </w:p>
        </w:tc>
      </w:tr>
      <w:tr w:rsidR="00EB492E" w:rsidRPr="00EB492E" w:rsidTr="00EB492E">
        <w:trPr>
          <w:trHeight w:val="108"/>
        </w:trPr>
        <w:tc>
          <w:tcPr>
            <w:tcW w:w="0" w:type="auto"/>
            <w:tcBorders>
              <w:top w:val="nil"/>
              <w:left w:val="nil"/>
              <w:bottom w:val="nil"/>
              <w:right w:val="nil"/>
            </w:tcBorders>
            <w:shd w:val="clear" w:color="auto" w:fill="auto"/>
            <w:vAlign w:val="bottom"/>
            <w:hideMark/>
          </w:tcPr>
          <w:p w:rsidR="00EB492E" w:rsidRPr="00EB492E" w:rsidRDefault="00EB492E" w:rsidP="00EB492E">
            <w:pPr>
              <w:spacing w:after="0" w:line="108" w:lineRule="atLeast"/>
              <w:rPr>
                <w:rFonts w:ascii="Helvetica" w:eastAsia="Times New Roman" w:hAnsi="Helvetica" w:cs="Helvetica"/>
                <w:color w:val="241710"/>
                <w:sz w:val="14"/>
                <w:szCs w:val="14"/>
                <w:lang w:eastAsia="es-ES"/>
              </w:rPr>
            </w:pPr>
            <w:r w:rsidRPr="00EB492E">
              <w:rPr>
                <w:rFonts w:ascii="Helvetica" w:eastAsia="Times New Roman" w:hAnsi="Helvetica" w:cs="Helvetica"/>
                <w:color w:val="241710"/>
                <w:sz w:val="14"/>
                <w:szCs w:val="14"/>
                <w:lang w:eastAsia="es-ES"/>
              </w:rPr>
              <w:t> </w:t>
            </w:r>
          </w:p>
        </w:tc>
      </w:tr>
      <w:tr w:rsidR="00EB492E" w:rsidRPr="00EB492E" w:rsidTr="00EB492E">
        <w:tc>
          <w:tcPr>
            <w:tcW w:w="0" w:type="auto"/>
            <w:tcBorders>
              <w:top w:val="nil"/>
              <w:left w:val="nil"/>
              <w:bottom w:val="nil"/>
              <w:right w:val="nil"/>
            </w:tcBorders>
            <w:shd w:val="clear" w:color="auto" w:fill="auto"/>
            <w:vAlign w:val="bottom"/>
            <w:hideMark/>
          </w:tcPr>
          <w:tbl>
            <w:tblPr>
              <w:tblpPr w:leftFromText="36" w:rightFromText="36" w:vertAnchor="text"/>
              <w:tblW w:w="9000" w:type="dxa"/>
              <w:shd w:val="clear" w:color="auto" w:fill="FFFFFF"/>
              <w:tblCellMar>
                <w:left w:w="0" w:type="dxa"/>
                <w:right w:w="0" w:type="dxa"/>
              </w:tblCellMar>
              <w:tblLook w:val="04A0" w:firstRow="1" w:lastRow="0" w:firstColumn="1" w:lastColumn="0" w:noHBand="0" w:noVBand="1"/>
            </w:tblPr>
            <w:tblGrid>
              <w:gridCol w:w="9000"/>
            </w:tblGrid>
            <w:tr w:rsidR="00EB492E" w:rsidRPr="00EB492E">
              <w:tc>
                <w:tcPr>
                  <w:tcW w:w="0" w:type="auto"/>
                  <w:tcBorders>
                    <w:top w:val="nil"/>
                    <w:left w:val="nil"/>
                    <w:bottom w:val="nil"/>
                    <w:right w:val="nil"/>
                  </w:tcBorders>
                  <w:shd w:val="clear" w:color="auto" w:fill="auto"/>
                  <w:tcMar>
                    <w:top w:w="225" w:type="dxa"/>
                    <w:left w:w="225" w:type="dxa"/>
                    <w:bottom w:w="225" w:type="dxa"/>
                    <w:right w:w="225" w:type="dxa"/>
                  </w:tcMar>
                  <w:hideMark/>
                </w:tcPr>
                <w:p w:rsidR="00EB492E" w:rsidRPr="00EB492E" w:rsidRDefault="00EB492E" w:rsidP="00EB492E">
                  <w:pPr>
                    <w:spacing w:after="150" w:line="336" w:lineRule="atLeast"/>
                    <w:textAlignment w:val="baseline"/>
                    <w:outlineLvl w:val="1"/>
                    <w:rPr>
                      <w:rFonts w:ascii="Helvetica" w:eastAsia="Times New Roman" w:hAnsi="Helvetica" w:cs="Helvetica"/>
                      <w:b/>
                      <w:bCs/>
                      <w:color w:val="241710"/>
                      <w:sz w:val="28"/>
                      <w:szCs w:val="28"/>
                      <w:lang w:eastAsia="es-ES"/>
                    </w:rPr>
                  </w:pPr>
                  <w:r w:rsidRPr="00EB492E">
                    <w:rPr>
                      <w:rFonts w:ascii="Helvetica" w:eastAsia="Times New Roman" w:hAnsi="Helvetica" w:cs="Helvetica"/>
                      <w:b/>
                      <w:bCs/>
                      <w:color w:val="241710"/>
                      <w:sz w:val="28"/>
                      <w:szCs w:val="28"/>
                      <w:lang w:eastAsia="es-ES"/>
                    </w:rPr>
                    <w:t>¿Debo tomar un complemento diario de Q10?</w:t>
                  </w:r>
                </w:p>
                <w:p w:rsidR="00EB492E" w:rsidRPr="00EB492E" w:rsidRDefault="00EB492E" w:rsidP="00EB492E">
                  <w:pPr>
                    <w:spacing w:after="0" w:line="336" w:lineRule="atLeast"/>
                    <w:textAlignment w:val="baseline"/>
                    <w:rPr>
                      <w:rFonts w:ascii="Helvetica" w:eastAsia="Times New Roman" w:hAnsi="Helvetica" w:cs="Helvetica"/>
                      <w:color w:val="241710"/>
                      <w:sz w:val="23"/>
                      <w:szCs w:val="23"/>
                      <w:lang w:eastAsia="es-ES"/>
                    </w:rPr>
                  </w:pPr>
                  <w:hyperlink r:id="rId8" w:tgtFrame="_blank" w:history="1">
                    <w:r w:rsidRPr="00EB492E">
                      <w:rPr>
                        <w:rFonts w:ascii="Helvetica" w:eastAsia="Times New Roman" w:hAnsi="Helvetica" w:cs="Helvetica"/>
                        <w:noProof/>
                        <w:color w:val="241710"/>
                        <w:sz w:val="23"/>
                        <w:szCs w:val="23"/>
                        <w:lang w:eastAsia="es-ES"/>
                      </w:rPr>
                      <w:drawing>
                        <wp:anchor distT="0" distB="0" distL="0" distR="0" simplePos="0" relativeHeight="251659264" behindDoc="0" locked="0" layoutInCell="1" allowOverlap="0" wp14:anchorId="34555E23" wp14:editId="4A094094">
                          <wp:simplePos x="0" y="0"/>
                          <wp:positionH relativeFrom="column">
                            <wp:align>right</wp:align>
                          </wp:positionH>
                          <wp:positionV relativeFrom="line">
                            <wp:posOffset>0</wp:posOffset>
                          </wp:positionV>
                          <wp:extent cx="2571750" cy="1562100"/>
                          <wp:effectExtent l="0" t="0" r="0" b="0"/>
                          <wp:wrapSquare wrapText="bothSides"/>
                          <wp:docPr id="4" name="Imagen 2" descr="https://sg0.pharmanord.com/0/797.th3.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g0.pharmanord.com/0/797.th3.p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562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B492E">
                    <w:rPr>
                      <w:rFonts w:ascii="Helvetica" w:eastAsia="Times New Roman" w:hAnsi="Helvetica" w:cs="Helvetica"/>
                      <w:color w:val="241710"/>
                      <w:sz w:val="23"/>
                      <w:szCs w:val="23"/>
                      <w:lang w:eastAsia="es-ES"/>
                    </w:rPr>
                    <w:t xml:space="preserve">Hay muchas razones por las que debe tomar un complemento diario de Q10, siempre y cuando elija un preparado con biodisponibilidad documentada. La marca de Q10 original, que se ha convertido en el punto de referencia para la investigación científica, ahora está disponible en (España) y se vende con el nombre </w:t>
                  </w:r>
                  <w:proofErr w:type="spellStart"/>
                  <w:r w:rsidRPr="00EB492E">
                    <w:rPr>
                      <w:rFonts w:ascii="Helvetica" w:eastAsia="Times New Roman" w:hAnsi="Helvetica" w:cs="Helvetica"/>
                      <w:color w:val="241710"/>
                      <w:sz w:val="23"/>
                      <w:szCs w:val="23"/>
                      <w:lang w:eastAsia="es-ES"/>
                    </w:rPr>
                    <w:t>ActiveComplex</w:t>
                  </w:r>
                  <w:proofErr w:type="spellEnd"/>
                  <w:r w:rsidRPr="00EB492E">
                    <w:rPr>
                      <w:rFonts w:ascii="Helvetica" w:eastAsia="Times New Roman" w:hAnsi="Helvetica" w:cs="Helvetica"/>
                      <w:color w:val="241710"/>
                      <w:sz w:val="23"/>
                      <w:szCs w:val="23"/>
                      <w:lang w:eastAsia="es-ES"/>
                    </w:rPr>
                    <w:t xml:space="preserve"> Q10 Gold.</w:t>
                  </w:r>
                </w:p>
                <w:p w:rsidR="00EB492E" w:rsidRPr="00EB492E" w:rsidRDefault="00EB492E" w:rsidP="00EB492E">
                  <w:pPr>
                    <w:spacing w:after="150" w:line="336" w:lineRule="atLeast"/>
                    <w:textAlignment w:val="baseline"/>
                    <w:outlineLvl w:val="1"/>
                    <w:rPr>
                      <w:rFonts w:ascii="Helvetica" w:eastAsia="Times New Roman" w:hAnsi="Helvetica" w:cs="Helvetica"/>
                      <w:b/>
                      <w:bCs/>
                      <w:color w:val="241710"/>
                      <w:sz w:val="28"/>
                      <w:szCs w:val="28"/>
                      <w:lang w:eastAsia="es-ES"/>
                    </w:rPr>
                  </w:pPr>
                  <w:r w:rsidRPr="00EB492E">
                    <w:rPr>
                      <w:rFonts w:ascii="Helvetica" w:eastAsia="Times New Roman" w:hAnsi="Helvetica" w:cs="Helvetica"/>
                      <w:b/>
                      <w:bCs/>
                      <w:color w:val="241710"/>
                      <w:sz w:val="28"/>
                      <w:szCs w:val="28"/>
                      <w:lang w:eastAsia="es-ES"/>
                    </w:rPr>
                    <w:t>Adecuado para la investigación científica</w:t>
                  </w:r>
                </w:p>
                <w:p w:rsidR="00EB492E" w:rsidRPr="00EB492E" w:rsidRDefault="00EB492E" w:rsidP="00EB492E">
                  <w:pPr>
                    <w:spacing w:after="240" w:line="336" w:lineRule="atLeast"/>
                    <w:textAlignment w:val="baseline"/>
                    <w:rPr>
                      <w:rFonts w:ascii="Helvetica" w:eastAsia="Times New Roman" w:hAnsi="Helvetica" w:cs="Helvetica"/>
                      <w:color w:val="241710"/>
                      <w:sz w:val="23"/>
                      <w:szCs w:val="23"/>
                      <w:lang w:eastAsia="es-ES"/>
                    </w:rPr>
                  </w:pPr>
                  <w:r w:rsidRPr="00EB492E">
                    <w:rPr>
                      <w:rFonts w:ascii="Helvetica" w:eastAsia="Times New Roman" w:hAnsi="Helvetica" w:cs="Helvetica"/>
                      <w:color w:val="241710"/>
                      <w:sz w:val="23"/>
                      <w:szCs w:val="23"/>
                      <w:lang w:eastAsia="es-ES"/>
                    </w:rPr>
                    <w:t xml:space="preserve">Se considera que la Q10 de </w:t>
                  </w:r>
                  <w:proofErr w:type="spellStart"/>
                  <w:r w:rsidRPr="00EB492E">
                    <w:rPr>
                      <w:rFonts w:ascii="Helvetica" w:eastAsia="Times New Roman" w:hAnsi="Helvetica" w:cs="Helvetica"/>
                      <w:color w:val="241710"/>
                      <w:sz w:val="23"/>
                      <w:szCs w:val="23"/>
                      <w:lang w:eastAsia="es-ES"/>
                    </w:rPr>
                    <w:t>Pharma</w:t>
                  </w:r>
                  <w:proofErr w:type="spellEnd"/>
                  <w:r w:rsidRPr="00EB492E">
                    <w:rPr>
                      <w:rFonts w:ascii="Helvetica" w:eastAsia="Times New Roman" w:hAnsi="Helvetica" w:cs="Helvetica"/>
                      <w:color w:val="241710"/>
                      <w:sz w:val="23"/>
                      <w:szCs w:val="23"/>
                      <w:lang w:eastAsia="es-ES"/>
                    </w:rPr>
                    <w:t xml:space="preserve"> Nord es la formulación mejor documentada en términos de biodisponibilidad y seguridad, razón por la cual este producto se seleccionó para dos de los estudios más grandes e innovadores de la coenzima Q10, el estudio Q-</w:t>
                  </w:r>
                  <w:proofErr w:type="spellStart"/>
                  <w:r w:rsidRPr="00EB492E">
                    <w:rPr>
                      <w:rFonts w:ascii="Helvetica" w:eastAsia="Times New Roman" w:hAnsi="Helvetica" w:cs="Helvetica"/>
                      <w:color w:val="241710"/>
                      <w:sz w:val="23"/>
                      <w:szCs w:val="23"/>
                      <w:lang w:eastAsia="es-ES"/>
                    </w:rPr>
                    <w:t>Symbio</w:t>
                  </w:r>
                  <w:proofErr w:type="spellEnd"/>
                  <w:r w:rsidRPr="00EB492E">
                    <w:rPr>
                      <w:rFonts w:ascii="Helvetica" w:eastAsia="Times New Roman" w:hAnsi="Helvetica" w:cs="Helvetica"/>
                      <w:color w:val="241710"/>
                      <w:sz w:val="23"/>
                      <w:szCs w:val="23"/>
                      <w:lang w:eastAsia="es-ES"/>
                    </w:rPr>
                    <w:t xml:space="preserve"> (</w:t>
                  </w:r>
                  <w:proofErr w:type="spellStart"/>
                  <w:r w:rsidRPr="00EB492E">
                    <w:rPr>
                      <w:rFonts w:ascii="Helvetica" w:eastAsia="Times New Roman" w:hAnsi="Helvetica" w:cs="Helvetica"/>
                      <w:color w:val="241710"/>
                      <w:sz w:val="23"/>
                      <w:szCs w:val="23"/>
                      <w:lang w:eastAsia="es-ES"/>
                    </w:rPr>
                    <w:t>Journal</w:t>
                  </w:r>
                  <w:proofErr w:type="spellEnd"/>
                  <w:r w:rsidRPr="00EB492E">
                    <w:rPr>
                      <w:rFonts w:ascii="Helvetica" w:eastAsia="Times New Roman" w:hAnsi="Helvetica" w:cs="Helvetica"/>
                      <w:color w:val="241710"/>
                      <w:sz w:val="23"/>
                      <w:szCs w:val="23"/>
                      <w:lang w:eastAsia="es-ES"/>
                    </w:rPr>
                    <w:t xml:space="preserve"> of el Colegio Americano de Cardiología, Insuficiencia Cardíaca, 2014) y el estudio KiSel-10 (International </w:t>
                  </w:r>
                  <w:proofErr w:type="spellStart"/>
                  <w:r w:rsidRPr="00EB492E">
                    <w:rPr>
                      <w:rFonts w:ascii="Helvetica" w:eastAsia="Times New Roman" w:hAnsi="Helvetica" w:cs="Helvetica"/>
                      <w:color w:val="241710"/>
                      <w:sz w:val="23"/>
                      <w:szCs w:val="23"/>
                      <w:lang w:eastAsia="es-ES"/>
                    </w:rPr>
                    <w:t>Journal</w:t>
                  </w:r>
                  <w:proofErr w:type="spellEnd"/>
                  <w:r w:rsidRPr="00EB492E">
                    <w:rPr>
                      <w:rFonts w:ascii="Helvetica" w:eastAsia="Times New Roman" w:hAnsi="Helvetica" w:cs="Helvetica"/>
                      <w:color w:val="241710"/>
                      <w:sz w:val="23"/>
                      <w:szCs w:val="23"/>
                      <w:lang w:eastAsia="es-ES"/>
                    </w:rPr>
                    <w:t xml:space="preserve"> of </w:t>
                  </w:r>
                  <w:proofErr w:type="spellStart"/>
                  <w:r w:rsidRPr="00EB492E">
                    <w:rPr>
                      <w:rFonts w:ascii="Helvetica" w:eastAsia="Times New Roman" w:hAnsi="Helvetica" w:cs="Helvetica"/>
                      <w:color w:val="241710"/>
                      <w:sz w:val="23"/>
                      <w:szCs w:val="23"/>
                      <w:lang w:eastAsia="es-ES"/>
                    </w:rPr>
                    <w:t>Cardiology</w:t>
                  </w:r>
                  <w:proofErr w:type="spellEnd"/>
                  <w:r w:rsidRPr="00EB492E">
                    <w:rPr>
                      <w:rFonts w:ascii="Helvetica" w:eastAsia="Times New Roman" w:hAnsi="Helvetica" w:cs="Helvetica"/>
                      <w:color w:val="241710"/>
                      <w:sz w:val="23"/>
                      <w:szCs w:val="23"/>
                      <w:lang w:eastAsia="es-ES"/>
                    </w:rPr>
                    <w:t>, 2013)</w:t>
                  </w:r>
                </w:p>
              </w:tc>
            </w:tr>
          </w:tbl>
          <w:p w:rsidR="00EB492E" w:rsidRPr="00EB492E" w:rsidRDefault="00EB492E" w:rsidP="00EB492E">
            <w:pPr>
              <w:spacing w:after="0" w:line="336" w:lineRule="atLeast"/>
              <w:rPr>
                <w:rFonts w:ascii="Helvetica" w:eastAsia="Times New Roman" w:hAnsi="Helvetica" w:cs="Helvetica"/>
                <w:color w:val="241710"/>
                <w:sz w:val="23"/>
                <w:szCs w:val="23"/>
                <w:lang w:eastAsia="es-ES"/>
              </w:rPr>
            </w:pPr>
          </w:p>
        </w:tc>
      </w:tr>
    </w:tbl>
    <w:p w:rsidR="00AE7EF4" w:rsidRDefault="00AE7EF4">
      <w:bookmarkStart w:id="0" w:name="_GoBack"/>
      <w:bookmarkEnd w:id="0"/>
    </w:p>
    <w:sectPr w:rsidR="00AE7E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E"/>
    <w:rsid w:val="00AE7EF4"/>
    <w:rsid w:val="00EB4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nord.es/productos/activecomplex-q10-gold"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4380</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2019-10-09T11:25:00Z</dcterms:created>
  <dcterms:modified xsi:type="dcterms:W3CDTF">2019-10-09T11:26:00Z</dcterms:modified>
</cp:coreProperties>
</file>